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030C54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C54" w:rsidRDefault="00030C54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030C54" w:rsidRDefault="00030C54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Tecnologias digitais na formação docente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C54" w:rsidRDefault="00030C54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030C54" w:rsidRDefault="00030C54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TD07 </w:t>
            </w:r>
          </w:p>
        </w:tc>
      </w:tr>
      <w:tr w:rsidR="00030C54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4" w:rsidRDefault="00030C54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030C54" w:rsidRDefault="00030C54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4" w:rsidRDefault="00030C54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030C54" w:rsidRDefault="00030C54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4" w:rsidRDefault="00030C54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030C54" w:rsidRDefault="00030C54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030C54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C54" w:rsidRDefault="00030C54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030C54" w:rsidTr="00BD6586">
        <w:trPr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4" w:rsidRDefault="00030C54" w:rsidP="00BD6586">
            <w:pPr>
              <w:spacing w:after="113" w:line="259" w:lineRule="auto"/>
              <w:ind w:left="924" w:right="0" w:firstLine="0"/>
              <w:jc w:val="left"/>
            </w:pPr>
            <w:proofErr w:type="spellStart"/>
            <w:r>
              <w:t>Cassiana</w:t>
            </w:r>
            <w:proofErr w:type="spellEnd"/>
            <w:r>
              <w:t xml:space="preserve"> Barreto </w:t>
            </w:r>
            <w:proofErr w:type="spellStart"/>
            <w:r>
              <w:t>Hygino</w:t>
            </w:r>
            <w:proofErr w:type="spellEnd"/>
            <w:r>
              <w:t xml:space="preserve"> Machado  </w:t>
            </w:r>
          </w:p>
          <w:p w:rsidR="00030C54" w:rsidRDefault="00030C54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Maria Aparecida G. Ferreira </w:t>
            </w:r>
          </w:p>
        </w:tc>
      </w:tr>
      <w:tr w:rsidR="00030C54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C54" w:rsidRDefault="00030C54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030C54" w:rsidTr="00BD6586">
        <w:trPr>
          <w:trHeight w:val="152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4" w:rsidRDefault="00030C54" w:rsidP="00BD6586">
            <w:pPr>
              <w:spacing w:after="104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030C54" w:rsidRDefault="00030C54" w:rsidP="00BD6586">
            <w:pPr>
              <w:spacing w:after="103" w:line="259" w:lineRule="auto"/>
              <w:ind w:left="0" w:right="60" w:firstLine="0"/>
              <w:jc w:val="right"/>
            </w:pPr>
            <w:r>
              <w:t xml:space="preserve">Panorama geral do ensino: visão de documentos oficiais, de teóricos e resultados de </w:t>
            </w:r>
          </w:p>
          <w:p w:rsidR="00030C54" w:rsidRDefault="00030C54" w:rsidP="00BD6586">
            <w:pPr>
              <w:spacing w:after="0" w:line="259" w:lineRule="auto"/>
              <w:ind w:left="0" w:right="0" w:firstLine="0"/>
            </w:pPr>
            <w:proofErr w:type="gramStart"/>
            <w:r>
              <w:t>avaliações</w:t>
            </w:r>
            <w:proofErr w:type="gramEnd"/>
            <w:r>
              <w:t xml:space="preserve"> em larga escala; Modelos didáticos para o ensino; Sequências didáticas; Estratégias de ensino; O uso de tecnologias digitais no ensino e as estratégias de ensino.</w:t>
            </w:r>
            <w:r>
              <w:rPr>
                <w:b/>
              </w:rPr>
              <w:t xml:space="preserve"> </w:t>
            </w:r>
          </w:p>
        </w:tc>
      </w:tr>
      <w:tr w:rsidR="00030C54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C54" w:rsidRDefault="00030C54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030C54" w:rsidTr="00BD6586">
        <w:trPr>
          <w:trHeight w:val="115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4" w:rsidRDefault="00030C54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030C54" w:rsidRDefault="00030C54" w:rsidP="00BD6586">
            <w:pPr>
              <w:spacing w:after="103" w:line="259" w:lineRule="auto"/>
              <w:ind w:left="0" w:right="60" w:firstLine="0"/>
              <w:jc w:val="right"/>
            </w:pPr>
            <w:r>
              <w:t xml:space="preserve">Promover a reflexão da prática docente, oportunizar a construção de propostas de ensino </w:t>
            </w:r>
          </w:p>
          <w:p w:rsidR="00030C54" w:rsidRDefault="00030C54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com</w:t>
            </w:r>
            <w:proofErr w:type="gramEnd"/>
            <w:r>
              <w:t xml:space="preserve"> uso de tecnologias digitais com metodologias de ensino </w:t>
            </w:r>
            <w:proofErr w:type="spellStart"/>
            <w:r>
              <w:t>problematizadoras</w:t>
            </w:r>
            <w:proofErr w:type="spellEnd"/>
            <w:r>
              <w:t xml:space="preserve">. </w:t>
            </w:r>
          </w:p>
        </w:tc>
      </w:tr>
      <w:tr w:rsidR="00030C54" w:rsidTr="00BD6586">
        <w:trPr>
          <w:trHeight w:val="35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C54" w:rsidRDefault="00030C54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30C54" w:rsidTr="00BD6586">
        <w:trPr>
          <w:trHeight w:val="703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4" w:rsidRDefault="00030C54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30C54" w:rsidRDefault="00030C54" w:rsidP="00BD6586">
            <w:pPr>
              <w:spacing w:after="122" w:line="237" w:lineRule="auto"/>
              <w:ind w:left="0" w:right="0" w:firstLine="0"/>
            </w:pPr>
            <w:r>
              <w:t xml:space="preserve">BARRO, M. R.; FERREIRA, J. Q.; QUEIROZ, S. </w:t>
            </w:r>
            <w:proofErr w:type="gramStart"/>
            <w:r>
              <w:t>L..</w:t>
            </w:r>
            <w:proofErr w:type="gramEnd"/>
            <w:r>
              <w:t xml:space="preserve"> </w:t>
            </w:r>
            <w:r>
              <w:rPr>
                <w:i/>
              </w:rPr>
              <w:t>Blogs:</w:t>
            </w:r>
            <w:r>
              <w:t xml:space="preserve"> aplicação na educação em Química. Química Nova na Escola. 30: 10-15, 2008. </w:t>
            </w:r>
          </w:p>
          <w:p w:rsidR="00030C54" w:rsidRDefault="00030C54" w:rsidP="00BD6586">
            <w:pPr>
              <w:spacing w:after="122" w:line="236" w:lineRule="auto"/>
              <w:ind w:left="0" w:right="0" w:firstLine="0"/>
            </w:pPr>
            <w:r>
              <w:t xml:space="preserve">BRASIL, Ministério da Educação. Secretaria de Educação Média e Tecnológica. </w:t>
            </w:r>
            <w:r>
              <w:rPr>
                <w:i/>
              </w:rPr>
              <w:t>Parâmetros Curriculares Nacionais</w:t>
            </w:r>
            <w:r>
              <w:t xml:space="preserve">: ensino médio. Brasília: MEC/SEMTEC, 1999. </w:t>
            </w:r>
          </w:p>
          <w:p w:rsidR="00030C54" w:rsidRDefault="00030C54" w:rsidP="00BD6586">
            <w:pPr>
              <w:spacing w:after="122" w:line="236" w:lineRule="auto"/>
              <w:ind w:left="0" w:right="54" w:firstLine="0"/>
            </w:pPr>
            <w:r>
              <w:t xml:space="preserve"> ______. Ministério da Educação e Cultura, Secretaria de Educação Básica. </w:t>
            </w:r>
            <w:r>
              <w:rPr>
                <w:i/>
              </w:rPr>
              <w:t>Ciências da Natureza, Matemática e suas Tecnologias, Orientações Curriculares para o Ensino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Médio</w:t>
            </w:r>
            <w:r>
              <w:t xml:space="preserve">, Brasília: MEC/SEB, vol. 2, 2006. </w:t>
            </w:r>
          </w:p>
          <w:p w:rsidR="00030C54" w:rsidRDefault="00030C54" w:rsidP="00BD6586">
            <w:pPr>
              <w:spacing w:after="122" w:line="236" w:lineRule="auto"/>
              <w:ind w:left="0" w:right="0" w:firstLine="0"/>
            </w:pPr>
            <w:r>
              <w:t xml:space="preserve">DELIZOICOV, Demétrio; ANGOTTI, José André; PERNAMBUCO, Marta Maria. </w:t>
            </w:r>
            <w:r>
              <w:rPr>
                <w:i/>
              </w:rPr>
              <w:t>Ensino de Ciências:</w:t>
            </w:r>
            <w:r>
              <w:t xml:space="preserve"> Fundamentos e Métodos. São Paulo: Cortez, 2007. </w:t>
            </w:r>
          </w:p>
          <w:p w:rsidR="00030C54" w:rsidRDefault="00030C54" w:rsidP="00BD6586">
            <w:pPr>
              <w:spacing w:after="119" w:line="238" w:lineRule="auto"/>
              <w:ind w:left="0" w:right="54" w:firstLine="0"/>
            </w:pPr>
            <w:r>
              <w:t xml:space="preserve">DOLZ, J.; NOVERRAZ, N. e SCHNEUWLY, B. </w:t>
            </w:r>
            <w:r>
              <w:rPr>
                <w:i/>
              </w:rPr>
              <w:t>Sequências didáticas para o oral e a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escrita</w:t>
            </w:r>
            <w:r>
              <w:t xml:space="preserve">: apresentação de um procedimento. In: SCHNEUWLY, B. E DOLZ, J. et </w:t>
            </w:r>
            <w:proofErr w:type="spellStart"/>
            <w:r>
              <w:t>allii</w:t>
            </w:r>
            <w:proofErr w:type="spellEnd"/>
            <w:r>
              <w:t xml:space="preserve">. Gêneros orais e escritos na escola. Campinas: Mercado de Letras, 2004. </w:t>
            </w:r>
          </w:p>
          <w:p w:rsidR="00030C54" w:rsidRDefault="00030C54" w:rsidP="00BD6586">
            <w:pPr>
              <w:spacing w:after="122" w:line="237" w:lineRule="auto"/>
              <w:ind w:left="0" w:right="0" w:firstLine="0"/>
            </w:pPr>
            <w:r>
              <w:t xml:space="preserve">GARCIA, J.E.; </w:t>
            </w:r>
            <w:proofErr w:type="spellStart"/>
            <w:r>
              <w:t>Porlán</w:t>
            </w:r>
            <w:proofErr w:type="spellEnd"/>
            <w:r>
              <w:t xml:space="preserve">, R. </w:t>
            </w:r>
            <w:r>
              <w:rPr>
                <w:i/>
              </w:rPr>
              <w:t>Teoria e prática na ação docente</w:t>
            </w:r>
            <w:r>
              <w:t xml:space="preserve">. Cad. Pedagógicos, 3, 7-42, Lajeado, 2000. </w:t>
            </w:r>
          </w:p>
          <w:p w:rsidR="00030C54" w:rsidRDefault="00030C54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HENGEMÜHLE, Adelar. </w:t>
            </w:r>
            <w:r>
              <w:rPr>
                <w:i/>
              </w:rPr>
              <w:t>Gestão de ensino e práticas pedagógicas</w:t>
            </w:r>
            <w:r>
              <w:t xml:space="preserve">. 6. ed. Petrópolis: Vozes, 2010.  </w:t>
            </w:r>
          </w:p>
          <w:p w:rsidR="00030C54" w:rsidRDefault="00030C54" w:rsidP="00BD6586">
            <w:pPr>
              <w:spacing w:after="119" w:line="238" w:lineRule="auto"/>
              <w:ind w:left="0" w:right="53" w:firstLine="0"/>
            </w:pPr>
            <w:r>
              <w:t xml:space="preserve">INEP: Instituto Nacional de Estudos e Pesquisas Educacionais Anísio Teixeira. </w:t>
            </w:r>
            <w:r>
              <w:rPr>
                <w:i/>
              </w:rPr>
              <w:t>PISA</w:t>
            </w:r>
            <w:r>
              <w:t xml:space="preserve">. Disponível em: </w:t>
            </w:r>
            <w:hyperlink r:id="rId4">
              <w:r>
                <w:t>&lt;</w:t>
              </w:r>
            </w:hyperlink>
            <w:hyperlink r:id="rId5">
              <w:r>
                <w:t>http://portal.inep.gov.br/pisa</w:t>
              </w:r>
            </w:hyperlink>
            <w:hyperlink r:id="rId6">
              <w:r>
                <w:t>-</w:t>
              </w:r>
            </w:hyperlink>
            <w:hyperlink r:id="rId7">
              <w:r>
                <w:t>programa</w:t>
              </w:r>
            </w:hyperlink>
            <w:hyperlink r:id="rId8">
              <w:r>
                <w:t>-</w:t>
              </w:r>
            </w:hyperlink>
            <w:hyperlink r:id="rId9">
              <w:r>
                <w:t>internacional</w:t>
              </w:r>
            </w:hyperlink>
            <w:hyperlink r:id="rId10">
              <w:r>
                <w:t>-</w:t>
              </w:r>
            </w:hyperlink>
            <w:hyperlink r:id="rId11">
              <w:r>
                <w:t>de</w:t>
              </w:r>
            </w:hyperlink>
            <w:hyperlink r:id="rId12">
              <w:r>
                <w:t>-</w:t>
              </w:r>
            </w:hyperlink>
            <w:hyperlink r:id="rId13">
              <w:r>
                <w:t>avaliacao</w:t>
              </w:r>
            </w:hyperlink>
            <w:hyperlink r:id="rId14">
              <w:r>
                <w:t>-</w:t>
              </w:r>
            </w:hyperlink>
            <w:hyperlink r:id="rId15">
              <w:r>
                <w:t>de</w:t>
              </w:r>
            </w:hyperlink>
            <w:hyperlink r:id="rId16">
              <w:r>
                <w:t>-</w:t>
              </w:r>
            </w:hyperlink>
            <w:hyperlink r:id="rId17">
              <w:r>
                <w:t>alunos&gt;</w:t>
              </w:r>
            </w:hyperlink>
            <w:r>
              <w:t xml:space="preserve"> Acesso em abril de 2016. </w:t>
            </w:r>
          </w:p>
          <w:p w:rsidR="00030C54" w:rsidRDefault="00030C54" w:rsidP="00BD6586">
            <w:pPr>
              <w:spacing w:after="116" w:line="240" w:lineRule="auto"/>
              <w:ind w:left="0" w:right="0" w:firstLine="0"/>
            </w:pPr>
            <w:r>
              <w:t xml:space="preserve">LEITE, B. Silva; </w:t>
            </w:r>
            <w:r>
              <w:rPr>
                <w:i/>
              </w:rPr>
              <w:t>M-Learning</w:t>
            </w:r>
            <w:r>
              <w:t xml:space="preserve">: o uso de dispositivos móveis como ferramenta didática no Ensino de Química RBIE V.22 N.3 – 2014. </w:t>
            </w:r>
          </w:p>
          <w:p w:rsidR="00030C54" w:rsidRDefault="00030C54" w:rsidP="00BD6586">
            <w:pPr>
              <w:spacing w:after="0" w:line="259" w:lineRule="auto"/>
              <w:ind w:left="0" w:right="0" w:firstLine="0"/>
            </w:pPr>
            <w:r>
              <w:t xml:space="preserve">MACÊDO, J. A.; DICKMAN, A. G. </w:t>
            </w:r>
            <w:r>
              <w:rPr>
                <w:i/>
              </w:rPr>
              <w:t>Simulações computacionais como ferramentas para</w:t>
            </w:r>
            <w:r>
              <w:rPr>
                <w:b/>
              </w:rPr>
              <w:t xml:space="preserve"> </w:t>
            </w:r>
            <w:r>
              <w:t>o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ensino de conceitos básicos de eletricidade</w:t>
            </w:r>
            <w:r>
              <w:t xml:space="preserve">. Caderno Brasileiro de Ensino de Física. v. 29, n. Especial 1: p. </w:t>
            </w:r>
          </w:p>
        </w:tc>
      </w:tr>
    </w:tbl>
    <w:p w:rsidR="001A2670" w:rsidRDefault="001A2670"/>
    <w:p w:rsidR="00030C54" w:rsidRDefault="00030C54" w:rsidP="00030C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lastRenderedPageBreak/>
        <w:t xml:space="preserve">562-613, set. 2012. </w:t>
      </w:r>
    </w:p>
    <w:p w:rsidR="00030C54" w:rsidRDefault="00030C54" w:rsidP="00030C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MACHARETH, S. MESSEDER, J. C. </w:t>
      </w:r>
      <w:r>
        <w:rPr>
          <w:i/>
          <w:sz w:val="22"/>
        </w:rPr>
        <w:t>Erros laboratoriais simulados em vídeos</w:t>
      </w:r>
      <w:r>
        <w:rPr>
          <w:sz w:val="22"/>
        </w:rPr>
        <w:t xml:space="preserve">: propostas para o uso da metodologia </w:t>
      </w:r>
      <w:proofErr w:type="spellStart"/>
      <w:r>
        <w:rPr>
          <w:sz w:val="22"/>
        </w:rPr>
        <w:t>problematizadora</w:t>
      </w:r>
      <w:proofErr w:type="spellEnd"/>
      <w:r>
        <w:rPr>
          <w:sz w:val="22"/>
        </w:rPr>
        <w:t xml:space="preserve"> num curso de farmácia X Encontro Nacional de Pesquisa em Educação em Ciências – X ENPEC Águas de Lindóia, SP – 24 a 27 de Novembro de 2015. </w:t>
      </w:r>
    </w:p>
    <w:p w:rsidR="00030C54" w:rsidRDefault="00030C54" w:rsidP="00030C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PORLÁN, R.; RIVERO, A. El </w:t>
      </w:r>
      <w:proofErr w:type="spellStart"/>
      <w:r>
        <w:rPr>
          <w:sz w:val="22"/>
        </w:rPr>
        <w:t>conocimiento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los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profesores</w:t>
      </w:r>
      <w:proofErr w:type="spellEnd"/>
      <w:r>
        <w:rPr>
          <w:sz w:val="22"/>
        </w:rPr>
        <w:t xml:space="preserve">. Sevilla: </w:t>
      </w:r>
      <w:proofErr w:type="spellStart"/>
      <w:r>
        <w:rPr>
          <w:sz w:val="22"/>
        </w:rPr>
        <w:t>Díada</w:t>
      </w:r>
      <w:proofErr w:type="spellEnd"/>
      <w:r>
        <w:rPr>
          <w:sz w:val="22"/>
        </w:rPr>
        <w:t xml:space="preserve">, 1998. </w:t>
      </w:r>
    </w:p>
    <w:p w:rsidR="00030C54" w:rsidRDefault="00030C54" w:rsidP="00030C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SÁ, L.; QUEIROZ, S. L. </w:t>
      </w:r>
      <w:r>
        <w:rPr>
          <w:i/>
          <w:sz w:val="22"/>
        </w:rPr>
        <w:t>Estudo de Casos no Ensino de Química</w:t>
      </w:r>
      <w:r>
        <w:rPr>
          <w:sz w:val="22"/>
        </w:rPr>
        <w:t xml:space="preserve">. São Paulo: Editora Átomo, 2009. </w:t>
      </w:r>
    </w:p>
    <w:p w:rsidR="00030C54" w:rsidRPr="0014719B" w:rsidRDefault="00030C54" w:rsidP="00030C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>
        <w:rPr>
          <w:sz w:val="22"/>
        </w:rPr>
        <w:t>SILVA, M. G. L.</w:t>
      </w:r>
      <w:proofErr w:type="gramStart"/>
      <w:r>
        <w:rPr>
          <w:sz w:val="22"/>
        </w:rPr>
        <w:t>;  MOHR</w:t>
      </w:r>
      <w:proofErr w:type="gramEnd"/>
      <w:r>
        <w:rPr>
          <w:sz w:val="22"/>
        </w:rPr>
        <w:t xml:space="preserve">, A.; ARAÚJO, M. F. F.. </w:t>
      </w:r>
      <w:r>
        <w:rPr>
          <w:i/>
          <w:sz w:val="22"/>
        </w:rPr>
        <w:t>Temas de ensino e formação de professores de ciências.</w:t>
      </w:r>
      <w:r>
        <w:rPr>
          <w:sz w:val="22"/>
        </w:rPr>
        <w:t xml:space="preserve"> </w:t>
      </w:r>
      <w:r w:rsidRPr="0014719B">
        <w:rPr>
          <w:sz w:val="22"/>
          <w:lang w:val="en-US"/>
        </w:rPr>
        <w:t xml:space="preserve">Natal/RN: EDUFRN, 2012. </w:t>
      </w:r>
    </w:p>
    <w:p w:rsidR="00030C54" w:rsidRDefault="00030C54" w:rsidP="00030C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14719B">
        <w:rPr>
          <w:sz w:val="22"/>
          <w:lang w:val="en-US"/>
        </w:rPr>
        <w:t xml:space="preserve">STINNER, A.; MCMILLAN, B.; DON M.; JILEK, J.; KLASSE, S. </w:t>
      </w:r>
      <w:r w:rsidRPr="0014719B">
        <w:rPr>
          <w:i/>
          <w:sz w:val="22"/>
          <w:lang w:val="en-US"/>
        </w:rPr>
        <w:t>The Renewal of Case</w:t>
      </w:r>
      <w:r w:rsidRPr="0014719B">
        <w:rPr>
          <w:b/>
          <w:sz w:val="22"/>
          <w:lang w:val="en-US"/>
        </w:rPr>
        <w:t xml:space="preserve"> </w:t>
      </w:r>
      <w:r w:rsidRPr="0014719B">
        <w:rPr>
          <w:i/>
          <w:sz w:val="22"/>
          <w:lang w:val="en-US"/>
        </w:rPr>
        <w:t>Studies in Science Education</w:t>
      </w:r>
      <w:r w:rsidRPr="0014719B">
        <w:rPr>
          <w:sz w:val="22"/>
          <w:lang w:val="en-US"/>
        </w:rPr>
        <w:t xml:space="preserve">. </w:t>
      </w:r>
      <w:r>
        <w:rPr>
          <w:sz w:val="22"/>
        </w:rPr>
        <w:t xml:space="preserve">Science &amp; </w:t>
      </w:r>
      <w:proofErr w:type="spellStart"/>
      <w:r>
        <w:rPr>
          <w:sz w:val="22"/>
        </w:rPr>
        <w:t>Education</w:t>
      </w:r>
      <w:proofErr w:type="spellEnd"/>
      <w:r>
        <w:rPr>
          <w:sz w:val="22"/>
        </w:rPr>
        <w:t>, 12, 7, 617-643, 2003.</w:t>
      </w:r>
      <w:r>
        <w:rPr>
          <w:b/>
          <w:sz w:val="22"/>
        </w:rPr>
        <w:t xml:space="preserve"> </w:t>
      </w:r>
    </w:p>
    <w:p w:rsidR="00030C54" w:rsidRDefault="00030C54">
      <w:bookmarkStart w:id="0" w:name="_GoBack"/>
      <w:bookmarkEnd w:id="0"/>
    </w:p>
    <w:sectPr w:rsidR="0003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54"/>
    <w:rsid w:val="00030C54"/>
    <w:rsid w:val="001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E76A7-A5EF-49A3-9ABB-EE2B18DC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54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30C54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nep.gov.br/pisa-programa-internacional-de-avaliacao-de-alunos" TargetMode="External"/><Relationship Id="rId13" Type="http://schemas.openxmlformats.org/officeDocument/2006/relationships/hyperlink" Target="http://portal.inep.gov.br/pisa-programa-internacional-de-avaliacao-de-aluno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.inep.gov.br/pisa-programa-internacional-de-avaliacao-de-alunos" TargetMode="External"/><Relationship Id="rId12" Type="http://schemas.openxmlformats.org/officeDocument/2006/relationships/hyperlink" Target="http://portal.inep.gov.br/pisa-programa-internacional-de-avaliacao-de-alunos" TargetMode="External"/><Relationship Id="rId17" Type="http://schemas.openxmlformats.org/officeDocument/2006/relationships/hyperlink" Target="http://portal.inep.gov.br/pisa-programa-internacional-de-avaliacao-de-alun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l.inep.gov.br/pisa-programa-internacional-de-avaliacao-de-alunos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inep.gov.br/pisa-programa-internacional-de-avaliacao-de-alunos" TargetMode="External"/><Relationship Id="rId11" Type="http://schemas.openxmlformats.org/officeDocument/2006/relationships/hyperlink" Target="http://portal.inep.gov.br/pisa-programa-internacional-de-avaliacao-de-alunos" TargetMode="External"/><Relationship Id="rId5" Type="http://schemas.openxmlformats.org/officeDocument/2006/relationships/hyperlink" Target="http://portal.inep.gov.br/pisa-programa-internacional-de-avaliacao-de-alunos" TargetMode="External"/><Relationship Id="rId15" Type="http://schemas.openxmlformats.org/officeDocument/2006/relationships/hyperlink" Target="http://portal.inep.gov.br/pisa-programa-internacional-de-avaliacao-de-alunos" TargetMode="External"/><Relationship Id="rId10" Type="http://schemas.openxmlformats.org/officeDocument/2006/relationships/hyperlink" Target="http://portal.inep.gov.br/pisa-programa-internacional-de-avaliacao-de-aluno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ortal.inep.gov.br/pisa-programa-internacional-de-avaliacao-de-alunos" TargetMode="External"/><Relationship Id="rId9" Type="http://schemas.openxmlformats.org/officeDocument/2006/relationships/hyperlink" Target="http://portal.inep.gov.br/pisa-programa-internacional-de-avaliacao-de-alunos" TargetMode="External"/><Relationship Id="rId14" Type="http://schemas.openxmlformats.org/officeDocument/2006/relationships/hyperlink" Target="http://portal.inep.gov.br/pisa-programa-internacional-de-avaliacao-de-alun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2017-09-21T12:35:00Z</dcterms:created>
  <dcterms:modified xsi:type="dcterms:W3CDTF">2017-09-21T12:36:00Z</dcterms:modified>
</cp:coreProperties>
</file>