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178" w:type="dxa"/>
        <w:tblInd w:w="-104" w:type="dxa"/>
        <w:tblCellMar>
          <w:top w:w="6" w:type="dxa"/>
          <w:left w:w="104" w:type="dxa"/>
          <w:right w:w="53" w:type="dxa"/>
        </w:tblCellMar>
        <w:tblLook w:val="04A0" w:firstRow="1" w:lastRow="0" w:firstColumn="1" w:lastColumn="0" w:noHBand="0" w:noVBand="1"/>
      </w:tblPr>
      <w:tblGrid>
        <w:gridCol w:w="3544"/>
        <w:gridCol w:w="3260"/>
        <w:gridCol w:w="850"/>
        <w:gridCol w:w="1524"/>
      </w:tblGrid>
      <w:tr w:rsidR="000948D7" w:rsidTr="00BD6586">
        <w:trPr>
          <w:trHeight w:val="768"/>
        </w:trPr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948D7" w:rsidRDefault="000948D7" w:rsidP="00BD6586">
            <w:pPr>
              <w:spacing w:after="110" w:line="259" w:lineRule="auto"/>
              <w:ind w:left="924" w:right="0" w:firstLine="0"/>
              <w:jc w:val="left"/>
            </w:pPr>
            <w:r>
              <w:t xml:space="preserve">Disciplina </w:t>
            </w:r>
          </w:p>
          <w:p w:rsidR="000948D7" w:rsidRDefault="000948D7" w:rsidP="00BD6586">
            <w:pPr>
              <w:spacing w:after="0" w:line="259" w:lineRule="auto"/>
              <w:ind w:left="924" w:right="0" w:firstLine="0"/>
              <w:jc w:val="left"/>
            </w:pPr>
            <w:r>
              <w:rPr>
                <w:b/>
              </w:rPr>
              <w:t>Metodologia da pesquisa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948D7" w:rsidRDefault="000948D7" w:rsidP="00BD6586">
            <w:pPr>
              <w:spacing w:after="101" w:line="259" w:lineRule="auto"/>
              <w:ind w:left="4" w:right="0" w:firstLine="0"/>
              <w:jc w:val="left"/>
            </w:pPr>
            <w:r>
              <w:rPr>
                <w:sz w:val="20"/>
              </w:rPr>
              <w:t xml:space="preserve">Código </w:t>
            </w:r>
          </w:p>
          <w:p w:rsidR="000948D7" w:rsidRDefault="000948D7" w:rsidP="00BD6586">
            <w:pPr>
              <w:spacing w:after="0" w:line="259" w:lineRule="auto"/>
              <w:ind w:left="4" w:right="0" w:firstLine="0"/>
              <w:jc w:val="left"/>
            </w:pPr>
            <w:r>
              <w:rPr>
                <w:b/>
                <w:sz w:val="20"/>
              </w:rPr>
              <w:t xml:space="preserve">TD02 </w:t>
            </w:r>
          </w:p>
        </w:tc>
      </w:tr>
      <w:tr w:rsidR="000948D7" w:rsidTr="00BD6586">
        <w:trPr>
          <w:trHeight w:val="70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D7" w:rsidRDefault="000948D7" w:rsidP="00BD6586">
            <w:pPr>
              <w:spacing w:after="96" w:line="259" w:lineRule="auto"/>
              <w:ind w:left="924" w:right="0" w:firstLine="0"/>
              <w:jc w:val="left"/>
            </w:pPr>
            <w:r>
              <w:rPr>
                <w:sz w:val="20"/>
              </w:rPr>
              <w:t xml:space="preserve">Carga horária / </w:t>
            </w:r>
            <w:proofErr w:type="gramStart"/>
            <w:r>
              <w:rPr>
                <w:sz w:val="20"/>
              </w:rPr>
              <w:t>crédito(</w:t>
            </w:r>
            <w:proofErr w:type="gramEnd"/>
            <w:r>
              <w:rPr>
                <w:sz w:val="20"/>
              </w:rPr>
              <w:t xml:space="preserve">s)  </w:t>
            </w:r>
          </w:p>
          <w:p w:rsidR="000948D7" w:rsidRDefault="000948D7" w:rsidP="00BD6586">
            <w:pPr>
              <w:spacing w:after="0" w:line="259" w:lineRule="auto"/>
              <w:ind w:left="924" w:right="0" w:firstLine="0"/>
              <w:jc w:val="left"/>
            </w:pPr>
            <w:proofErr w:type="gramStart"/>
            <w:r>
              <w:rPr>
                <w:sz w:val="20"/>
              </w:rPr>
              <w:t>(  )</w:t>
            </w:r>
            <w:proofErr w:type="gramEnd"/>
            <w:r>
              <w:rPr>
                <w:sz w:val="20"/>
              </w:rPr>
              <w:t xml:space="preserve"> 15h/01C   ( x ) 30h/02C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D7" w:rsidRDefault="000948D7" w:rsidP="00BD6586">
            <w:pPr>
              <w:spacing w:after="96" w:line="259" w:lineRule="auto"/>
              <w:ind w:left="4" w:right="0" w:firstLine="0"/>
              <w:jc w:val="left"/>
            </w:pPr>
            <w:r>
              <w:rPr>
                <w:sz w:val="20"/>
              </w:rPr>
              <w:t xml:space="preserve">Modalidade  </w:t>
            </w:r>
          </w:p>
          <w:p w:rsidR="000948D7" w:rsidRDefault="000948D7" w:rsidP="00BD6586">
            <w:pPr>
              <w:spacing w:after="0" w:line="259" w:lineRule="auto"/>
              <w:ind w:left="4" w:right="0" w:firstLine="0"/>
              <w:jc w:val="left"/>
            </w:pPr>
            <w:proofErr w:type="gramStart"/>
            <w:r>
              <w:rPr>
                <w:sz w:val="20"/>
              </w:rPr>
              <w:t>( X</w:t>
            </w:r>
            <w:proofErr w:type="gramEnd"/>
            <w:r>
              <w:rPr>
                <w:sz w:val="20"/>
              </w:rPr>
              <w:t xml:space="preserve"> ) Obrigatória   (     ) Optativa </w:t>
            </w:r>
          </w:p>
        </w:tc>
        <w:tc>
          <w:tcPr>
            <w:tcW w:w="2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D7" w:rsidRDefault="000948D7" w:rsidP="00BD6586">
            <w:pPr>
              <w:spacing w:after="96" w:line="259" w:lineRule="auto"/>
              <w:ind w:left="4" w:right="0" w:firstLine="0"/>
              <w:jc w:val="left"/>
            </w:pPr>
            <w:r>
              <w:rPr>
                <w:sz w:val="20"/>
              </w:rPr>
              <w:t xml:space="preserve">Semestre 1º </w:t>
            </w:r>
          </w:p>
          <w:p w:rsidR="000948D7" w:rsidRDefault="000948D7" w:rsidP="00BD6586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0"/>
              </w:rPr>
              <w:t xml:space="preserve">Ano: 2018 </w:t>
            </w:r>
          </w:p>
        </w:tc>
      </w:tr>
      <w:tr w:rsidR="000948D7" w:rsidTr="00BD6586">
        <w:trPr>
          <w:trHeight w:val="421"/>
        </w:trPr>
        <w:tc>
          <w:tcPr>
            <w:tcW w:w="9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948D7" w:rsidRDefault="000948D7" w:rsidP="00BD6586">
            <w:pPr>
              <w:spacing w:after="0" w:line="259" w:lineRule="auto"/>
              <w:ind w:left="924" w:right="0" w:firstLine="0"/>
              <w:jc w:val="left"/>
            </w:pPr>
            <w:proofErr w:type="gramStart"/>
            <w:r>
              <w:t>Docente(</w:t>
            </w:r>
            <w:proofErr w:type="gramEnd"/>
            <w:r>
              <w:t xml:space="preserve">s) </w:t>
            </w:r>
          </w:p>
        </w:tc>
      </w:tr>
      <w:tr w:rsidR="000948D7" w:rsidTr="00BD6586">
        <w:trPr>
          <w:trHeight w:val="564"/>
        </w:trPr>
        <w:tc>
          <w:tcPr>
            <w:tcW w:w="9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D7" w:rsidRDefault="000948D7" w:rsidP="00BD6586">
            <w:pPr>
              <w:spacing w:after="0" w:line="259" w:lineRule="auto"/>
              <w:ind w:left="924" w:right="0" w:firstLine="0"/>
              <w:jc w:val="left"/>
            </w:pPr>
            <w:r>
              <w:t xml:space="preserve">Carmen Elena das Chagas  </w:t>
            </w:r>
          </w:p>
          <w:p w:rsidR="000948D7" w:rsidRDefault="000948D7" w:rsidP="00BD6586">
            <w:pPr>
              <w:spacing w:after="0" w:line="259" w:lineRule="auto"/>
              <w:ind w:left="924" w:right="0" w:firstLine="0"/>
              <w:jc w:val="left"/>
            </w:pPr>
            <w:r>
              <w:t xml:space="preserve">João Gilberto da Silva Carvalho  </w:t>
            </w:r>
          </w:p>
        </w:tc>
      </w:tr>
      <w:tr w:rsidR="000948D7" w:rsidTr="00BD6586">
        <w:trPr>
          <w:trHeight w:val="422"/>
        </w:trPr>
        <w:tc>
          <w:tcPr>
            <w:tcW w:w="9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948D7" w:rsidRDefault="000948D7" w:rsidP="00BD6586">
            <w:pPr>
              <w:spacing w:after="0" w:line="259" w:lineRule="auto"/>
              <w:ind w:left="924" w:right="0" w:firstLine="0"/>
              <w:jc w:val="left"/>
            </w:pPr>
            <w:r>
              <w:t xml:space="preserve">Ementa </w:t>
            </w:r>
          </w:p>
        </w:tc>
      </w:tr>
      <w:tr w:rsidR="000948D7" w:rsidTr="00BD6586">
        <w:trPr>
          <w:trHeight w:val="1531"/>
        </w:trPr>
        <w:tc>
          <w:tcPr>
            <w:tcW w:w="9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D7" w:rsidRDefault="000948D7" w:rsidP="00BD6586">
            <w:pPr>
              <w:spacing w:after="104" w:line="259" w:lineRule="auto"/>
              <w:ind w:left="924" w:right="0" w:firstLine="0"/>
              <w:jc w:val="left"/>
            </w:pPr>
            <w:r>
              <w:t xml:space="preserve"> </w:t>
            </w:r>
          </w:p>
          <w:p w:rsidR="000948D7" w:rsidRDefault="000948D7" w:rsidP="00BD6586">
            <w:pPr>
              <w:spacing w:after="103" w:line="259" w:lineRule="auto"/>
              <w:ind w:left="0" w:right="60" w:firstLine="0"/>
              <w:jc w:val="right"/>
            </w:pPr>
            <w:r>
              <w:t xml:space="preserve">Conceitos necessários à produção de textos e à reflexão acadêmica. Fundamentos da lógica </w:t>
            </w:r>
          </w:p>
          <w:p w:rsidR="000948D7" w:rsidRDefault="000948D7" w:rsidP="00BD6586">
            <w:pPr>
              <w:spacing w:after="0" w:line="259" w:lineRule="auto"/>
              <w:ind w:left="0" w:right="0" w:firstLine="0"/>
            </w:pPr>
            <w:proofErr w:type="gramStart"/>
            <w:r>
              <w:t>do</w:t>
            </w:r>
            <w:proofErr w:type="gramEnd"/>
            <w:r>
              <w:t xml:space="preserve"> conhecimento científicos e seus métodos. Produção textual: clareza, objetividade e eficácia. Uso e adequação de mecanismos próprios do texto escrito formal. Resumo científico para Artigo.</w:t>
            </w:r>
            <w:r>
              <w:rPr>
                <w:b/>
              </w:rPr>
              <w:t xml:space="preserve"> </w:t>
            </w:r>
          </w:p>
        </w:tc>
      </w:tr>
      <w:tr w:rsidR="000948D7" w:rsidTr="00BD6586">
        <w:trPr>
          <w:trHeight w:val="421"/>
        </w:trPr>
        <w:tc>
          <w:tcPr>
            <w:tcW w:w="9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948D7" w:rsidRDefault="000948D7" w:rsidP="00BD6586">
            <w:pPr>
              <w:spacing w:after="0" w:line="259" w:lineRule="auto"/>
              <w:ind w:left="924" w:right="0" w:firstLine="0"/>
              <w:jc w:val="left"/>
            </w:pPr>
            <w:r>
              <w:t xml:space="preserve">Objetivos  </w:t>
            </w:r>
          </w:p>
        </w:tc>
      </w:tr>
      <w:tr w:rsidR="000948D7" w:rsidTr="00BD6586">
        <w:trPr>
          <w:trHeight w:val="3048"/>
        </w:trPr>
        <w:tc>
          <w:tcPr>
            <w:tcW w:w="9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D7" w:rsidRDefault="000948D7" w:rsidP="00BD6586">
            <w:pPr>
              <w:spacing w:after="103" w:line="259" w:lineRule="auto"/>
              <w:ind w:left="924" w:right="0" w:firstLine="0"/>
              <w:jc w:val="left"/>
            </w:pPr>
            <w:r>
              <w:t xml:space="preserve"> </w:t>
            </w:r>
          </w:p>
          <w:p w:rsidR="000948D7" w:rsidRDefault="000948D7" w:rsidP="000948D7">
            <w:pPr>
              <w:numPr>
                <w:ilvl w:val="0"/>
                <w:numId w:val="1"/>
              </w:numPr>
              <w:spacing w:after="103" w:line="259" w:lineRule="auto"/>
              <w:ind w:right="0" w:firstLine="0"/>
              <w:jc w:val="left"/>
            </w:pPr>
            <w:r>
              <w:t xml:space="preserve">Realizar a análise crítica do conhecimento; </w:t>
            </w:r>
          </w:p>
          <w:p w:rsidR="000948D7" w:rsidRDefault="000948D7" w:rsidP="000948D7">
            <w:pPr>
              <w:numPr>
                <w:ilvl w:val="0"/>
                <w:numId w:val="1"/>
              </w:numPr>
              <w:spacing w:after="105" w:line="259" w:lineRule="auto"/>
              <w:ind w:right="0" w:firstLine="0"/>
              <w:jc w:val="left"/>
            </w:pPr>
            <w:r>
              <w:t xml:space="preserve">Conhecer as principais vertentes da produção acadêmica; </w:t>
            </w:r>
          </w:p>
          <w:p w:rsidR="000948D7" w:rsidRDefault="000948D7" w:rsidP="000948D7">
            <w:pPr>
              <w:numPr>
                <w:ilvl w:val="0"/>
                <w:numId w:val="1"/>
              </w:numPr>
              <w:spacing w:after="103" w:line="259" w:lineRule="auto"/>
              <w:ind w:right="0" w:firstLine="0"/>
              <w:jc w:val="left"/>
            </w:pPr>
            <w:r>
              <w:t xml:space="preserve">Ter autonomia para escolher a abordagem apropriada aos objetivos; </w:t>
            </w:r>
          </w:p>
          <w:p w:rsidR="000948D7" w:rsidRDefault="000948D7" w:rsidP="000948D7">
            <w:pPr>
              <w:numPr>
                <w:ilvl w:val="0"/>
                <w:numId w:val="1"/>
              </w:numPr>
              <w:spacing w:after="103" w:line="259" w:lineRule="auto"/>
              <w:ind w:right="0" w:firstLine="0"/>
              <w:jc w:val="left"/>
            </w:pPr>
            <w:r>
              <w:t xml:space="preserve">Escrever textos didático-acadêmicos; </w:t>
            </w:r>
          </w:p>
          <w:p w:rsidR="000948D7" w:rsidRDefault="000948D7" w:rsidP="000948D7">
            <w:pPr>
              <w:numPr>
                <w:ilvl w:val="0"/>
                <w:numId w:val="1"/>
              </w:numPr>
              <w:spacing w:after="0" w:line="259" w:lineRule="auto"/>
              <w:ind w:right="0" w:firstLine="0"/>
              <w:jc w:val="left"/>
            </w:pPr>
            <w:r>
              <w:t xml:space="preserve">Identificar a tipologia própria do texto escrito formal; - Reconhecer os critérios de objetividade e clareza textuais; - Empregar os mecanismos de progressão textual. </w:t>
            </w:r>
          </w:p>
        </w:tc>
      </w:tr>
      <w:tr w:rsidR="000948D7" w:rsidTr="00BD6586">
        <w:trPr>
          <w:trHeight w:val="283"/>
        </w:trPr>
        <w:tc>
          <w:tcPr>
            <w:tcW w:w="9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948D7" w:rsidRDefault="000948D7" w:rsidP="00BD6586">
            <w:pPr>
              <w:spacing w:after="0" w:line="259" w:lineRule="auto"/>
              <w:ind w:left="924" w:right="0" w:firstLine="0"/>
              <w:jc w:val="left"/>
            </w:pPr>
            <w:r>
              <w:t>Bibliografia</w:t>
            </w:r>
            <w:r>
              <w:rPr>
                <w:b/>
              </w:rPr>
              <w:t xml:space="preserve"> </w:t>
            </w:r>
          </w:p>
        </w:tc>
      </w:tr>
      <w:tr w:rsidR="000948D7" w:rsidRPr="0014719B" w:rsidTr="00BD6586">
        <w:trPr>
          <w:trHeight w:val="5260"/>
        </w:trPr>
        <w:tc>
          <w:tcPr>
            <w:tcW w:w="9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D7" w:rsidRDefault="000948D7" w:rsidP="00BD6586">
            <w:pPr>
              <w:spacing w:after="98" w:line="259" w:lineRule="auto"/>
              <w:ind w:left="0" w:right="0" w:firstLine="0"/>
              <w:jc w:val="left"/>
            </w:pPr>
            <w:r>
              <w:t xml:space="preserve">ABREU, </w:t>
            </w:r>
            <w:proofErr w:type="spellStart"/>
            <w:r>
              <w:t>Antonio</w:t>
            </w:r>
            <w:proofErr w:type="spellEnd"/>
            <w:r>
              <w:t xml:space="preserve"> Suarez. </w:t>
            </w:r>
            <w:r>
              <w:rPr>
                <w:i/>
              </w:rPr>
              <w:t>Curso de redação.</w:t>
            </w:r>
            <w:r>
              <w:t xml:space="preserve"> São Paulo: Ed Ática, 2004. </w:t>
            </w:r>
          </w:p>
          <w:p w:rsidR="000948D7" w:rsidRDefault="000948D7" w:rsidP="00BD6586">
            <w:pPr>
              <w:spacing w:after="96" w:line="259" w:lineRule="auto"/>
              <w:ind w:left="0" w:right="0" w:firstLine="0"/>
              <w:jc w:val="left"/>
            </w:pPr>
            <w:r>
              <w:t xml:space="preserve">BAGNO, M. (Org.). </w:t>
            </w:r>
            <w:r>
              <w:rPr>
                <w:i/>
              </w:rPr>
              <w:t>Linguística da norma</w:t>
            </w:r>
            <w:r>
              <w:t xml:space="preserve">. São Paulo: Loyola, 2004. </w:t>
            </w:r>
          </w:p>
          <w:p w:rsidR="000948D7" w:rsidRPr="000948D7" w:rsidRDefault="000948D7" w:rsidP="00BD6586">
            <w:pPr>
              <w:spacing w:after="118" w:line="239" w:lineRule="auto"/>
              <w:ind w:left="0" w:right="0" w:firstLine="0"/>
              <w:rPr>
                <w:lang w:val="en-US"/>
              </w:rPr>
            </w:pPr>
            <w:r>
              <w:t xml:space="preserve">BECHARA, Evanildo. </w:t>
            </w:r>
            <w:r>
              <w:rPr>
                <w:i/>
              </w:rPr>
              <w:t>Moderna Gramática Portuguesa</w:t>
            </w:r>
            <w:r>
              <w:t xml:space="preserve">. 37ª. edição. Rio de Janeiro: Ed. </w:t>
            </w:r>
            <w:proofErr w:type="spellStart"/>
            <w:r w:rsidRPr="000948D7">
              <w:rPr>
                <w:lang w:val="en-US"/>
              </w:rPr>
              <w:t>Lucerna</w:t>
            </w:r>
            <w:proofErr w:type="spellEnd"/>
            <w:r w:rsidRPr="000948D7">
              <w:rPr>
                <w:lang w:val="en-US"/>
              </w:rPr>
              <w:t xml:space="preserve">, 2010. </w:t>
            </w:r>
          </w:p>
          <w:p w:rsidR="000948D7" w:rsidRDefault="000948D7" w:rsidP="00BD6586">
            <w:pPr>
              <w:spacing w:after="122" w:line="236" w:lineRule="auto"/>
              <w:ind w:left="0" w:right="0" w:firstLine="0"/>
            </w:pPr>
            <w:r w:rsidRPr="0014719B">
              <w:rPr>
                <w:lang w:val="en-US"/>
              </w:rPr>
              <w:t>BIBER, D., JOHANSSON, S., LEECH, G., CONRAD, S., FINEGAN, E</w:t>
            </w:r>
            <w:r w:rsidRPr="0014719B">
              <w:rPr>
                <w:i/>
                <w:lang w:val="en-US"/>
              </w:rPr>
              <w:t>. Longman Grammar of</w:t>
            </w:r>
            <w:r w:rsidRPr="0014719B">
              <w:rPr>
                <w:b/>
                <w:lang w:val="en-US"/>
              </w:rPr>
              <w:t xml:space="preserve"> </w:t>
            </w:r>
            <w:r w:rsidRPr="0014719B">
              <w:rPr>
                <w:i/>
                <w:lang w:val="en-US"/>
              </w:rPr>
              <w:t>Spoken and Written English</w:t>
            </w:r>
            <w:r w:rsidRPr="0014719B">
              <w:rPr>
                <w:lang w:val="en-US"/>
              </w:rPr>
              <w:t xml:space="preserve">. </w:t>
            </w:r>
            <w:proofErr w:type="spellStart"/>
            <w:r>
              <w:t>Essex</w:t>
            </w:r>
            <w:proofErr w:type="spellEnd"/>
            <w:r>
              <w:t xml:space="preserve">: Pearson </w:t>
            </w:r>
            <w:proofErr w:type="spellStart"/>
            <w:r>
              <w:t>Education</w:t>
            </w:r>
            <w:proofErr w:type="spellEnd"/>
            <w:r>
              <w:t xml:space="preserve"> </w:t>
            </w:r>
            <w:proofErr w:type="spellStart"/>
            <w:r>
              <w:t>Limited</w:t>
            </w:r>
            <w:proofErr w:type="spellEnd"/>
            <w:r>
              <w:t xml:space="preserve">, 2000. </w:t>
            </w:r>
          </w:p>
          <w:p w:rsidR="000948D7" w:rsidRDefault="000948D7" w:rsidP="00BD6586">
            <w:pPr>
              <w:spacing w:after="122" w:line="237" w:lineRule="auto"/>
              <w:ind w:left="0" w:right="0" w:firstLine="0"/>
            </w:pPr>
            <w:r>
              <w:t xml:space="preserve">BONINI, A. </w:t>
            </w:r>
            <w:r>
              <w:rPr>
                <w:i/>
              </w:rPr>
              <w:t>Gênero textual/discursivo</w:t>
            </w:r>
            <w:r>
              <w:t xml:space="preserve">: o conceito e o fenômeno. In: CRISTÓVÃO, V. L. L.; NASCIMENTO, E. L. (Org.). </w:t>
            </w:r>
            <w:r>
              <w:rPr>
                <w:i/>
              </w:rPr>
              <w:t>Gêneros textuais: teoria e prática</w:t>
            </w:r>
            <w:r>
              <w:t xml:space="preserve">. Londrina, Moriá, 2004, p. 3-17. </w:t>
            </w:r>
          </w:p>
          <w:p w:rsidR="000948D7" w:rsidRDefault="000948D7" w:rsidP="00BD6586">
            <w:pPr>
              <w:spacing w:after="122" w:line="236" w:lineRule="auto"/>
              <w:ind w:left="0" w:right="0" w:firstLine="0"/>
            </w:pPr>
            <w:r>
              <w:t xml:space="preserve">DIAS, R. </w:t>
            </w:r>
            <w:r>
              <w:rPr>
                <w:i/>
              </w:rPr>
              <w:t xml:space="preserve">Reading </w:t>
            </w:r>
            <w:proofErr w:type="spellStart"/>
            <w:r>
              <w:rPr>
                <w:i/>
              </w:rPr>
              <w:t>critically</w:t>
            </w:r>
            <w:proofErr w:type="spellEnd"/>
            <w:r>
              <w:rPr>
                <w:i/>
              </w:rPr>
              <w:t xml:space="preserve"> in </w:t>
            </w:r>
            <w:proofErr w:type="spellStart"/>
            <w:r>
              <w:rPr>
                <w:i/>
              </w:rPr>
              <w:t>English</w:t>
            </w:r>
            <w:proofErr w:type="spellEnd"/>
            <w:r>
              <w:t xml:space="preserve">. 3. ed. Revista e ampliada. Belo Horizonte: Editora UFMG, 2002. </w:t>
            </w:r>
          </w:p>
          <w:p w:rsidR="000948D7" w:rsidRPr="0014719B" w:rsidRDefault="000948D7" w:rsidP="00BD6586">
            <w:pPr>
              <w:spacing w:after="120" w:line="236" w:lineRule="auto"/>
              <w:ind w:left="0" w:right="0" w:firstLine="0"/>
              <w:rPr>
                <w:lang w:val="en-US"/>
              </w:rPr>
            </w:pPr>
            <w:r w:rsidRPr="000948D7">
              <w:rPr>
                <w:lang w:val="en-US"/>
              </w:rPr>
              <w:t xml:space="preserve">DUDLEY-EVANS, T. &amp; ST. JOHN, M.J. </w:t>
            </w:r>
            <w:r w:rsidRPr="000948D7">
              <w:rPr>
                <w:i/>
                <w:lang w:val="en-US"/>
              </w:rPr>
              <w:t>Developments in ESP: a multi-disciplinary approach</w:t>
            </w:r>
            <w:r w:rsidRPr="000948D7">
              <w:rPr>
                <w:lang w:val="en-US"/>
              </w:rPr>
              <w:t xml:space="preserve">. </w:t>
            </w:r>
            <w:r w:rsidRPr="0014719B">
              <w:rPr>
                <w:lang w:val="en-US"/>
              </w:rPr>
              <w:t xml:space="preserve">Cambridge: C.U.P., 2008. </w:t>
            </w:r>
          </w:p>
          <w:p w:rsidR="000948D7" w:rsidRPr="000948D7" w:rsidRDefault="000948D7" w:rsidP="00BD6586">
            <w:pPr>
              <w:spacing w:after="98" w:line="259" w:lineRule="auto"/>
              <w:ind w:left="0" w:right="0" w:firstLine="0"/>
              <w:jc w:val="left"/>
            </w:pPr>
            <w:r w:rsidRPr="0014719B">
              <w:rPr>
                <w:lang w:val="en-US"/>
              </w:rPr>
              <w:t xml:space="preserve">GRELLET, F. </w:t>
            </w:r>
            <w:r w:rsidRPr="0014719B">
              <w:rPr>
                <w:i/>
                <w:lang w:val="en-US"/>
              </w:rPr>
              <w:t>Developing Reading Skills</w:t>
            </w:r>
            <w:r w:rsidRPr="0014719B">
              <w:rPr>
                <w:lang w:val="en-US"/>
              </w:rPr>
              <w:t xml:space="preserve">. </w:t>
            </w:r>
            <w:r w:rsidRPr="000948D7">
              <w:t xml:space="preserve">Cambridge: C.U.P., 1999. </w:t>
            </w:r>
          </w:p>
          <w:p w:rsidR="000948D7" w:rsidRDefault="000948D7" w:rsidP="00BD6586">
            <w:pPr>
              <w:spacing w:after="96" w:line="259" w:lineRule="auto"/>
              <w:ind w:left="0" w:right="0" w:firstLine="0"/>
              <w:jc w:val="left"/>
            </w:pPr>
            <w:r>
              <w:t xml:space="preserve">HOUAISS, Antônio. </w:t>
            </w:r>
            <w:r>
              <w:rPr>
                <w:i/>
              </w:rPr>
              <w:t>Dicionário de Língua Portuguesa</w:t>
            </w:r>
            <w:r>
              <w:t xml:space="preserve">. Rio de Janeiro: Ed. Objetiva, 2010. </w:t>
            </w:r>
          </w:p>
          <w:p w:rsidR="000948D7" w:rsidRPr="0014719B" w:rsidRDefault="000948D7" w:rsidP="00BD6586">
            <w:pPr>
              <w:spacing w:after="0" w:line="259" w:lineRule="auto"/>
              <w:ind w:left="0" w:right="0" w:firstLine="0"/>
              <w:rPr>
                <w:lang w:val="en-US"/>
              </w:rPr>
            </w:pPr>
            <w:r w:rsidRPr="0014719B">
              <w:rPr>
                <w:lang w:val="en-US"/>
              </w:rPr>
              <w:t xml:space="preserve">HUTCHINSON, T. &amp; WATERS, A. </w:t>
            </w:r>
            <w:r w:rsidRPr="0014719B">
              <w:rPr>
                <w:i/>
                <w:lang w:val="en-US"/>
              </w:rPr>
              <w:t>English for Specific Purposes</w:t>
            </w:r>
            <w:r w:rsidRPr="0014719B">
              <w:rPr>
                <w:b/>
                <w:lang w:val="en-US"/>
              </w:rPr>
              <w:t xml:space="preserve">. </w:t>
            </w:r>
            <w:r w:rsidRPr="0014719B">
              <w:rPr>
                <w:lang w:val="en-US"/>
              </w:rPr>
              <w:t>A learning-centered</w:t>
            </w:r>
            <w:r w:rsidRPr="0014719B">
              <w:rPr>
                <w:b/>
                <w:lang w:val="en-US"/>
              </w:rPr>
              <w:t xml:space="preserve"> </w:t>
            </w:r>
            <w:r w:rsidRPr="0014719B">
              <w:rPr>
                <w:lang w:val="en-US"/>
              </w:rPr>
              <w:t xml:space="preserve">approach. Cambridge: C.U.P., 1993. </w:t>
            </w:r>
          </w:p>
        </w:tc>
      </w:tr>
    </w:tbl>
    <w:p w:rsidR="001A2670" w:rsidRPr="000948D7" w:rsidRDefault="001A2670">
      <w:pPr>
        <w:rPr>
          <w:lang w:val="en-US"/>
        </w:rPr>
      </w:pPr>
      <w:bookmarkStart w:id="0" w:name="_GoBack"/>
      <w:bookmarkEnd w:id="0"/>
    </w:p>
    <w:sectPr w:rsidR="001A2670" w:rsidRPr="000948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AF5880"/>
    <w:multiLevelType w:val="hybridMultilevel"/>
    <w:tmpl w:val="C1D81F5E"/>
    <w:lvl w:ilvl="0" w:tplc="9CA28C92">
      <w:start w:val="1"/>
      <w:numFmt w:val="bullet"/>
      <w:lvlText w:val="-"/>
      <w:lvlJc w:val="left"/>
      <w:pPr>
        <w:ind w:left="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3C45AE">
      <w:start w:val="1"/>
      <w:numFmt w:val="bullet"/>
      <w:lvlText w:val="o"/>
      <w:lvlJc w:val="left"/>
      <w:pPr>
        <w:ind w:left="2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6477B4">
      <w:start w:val="1"/>
      <w:numFmt w:val="bullet"/>
      <w:lvlText w:val="▪"/>
      <w:lvlJc w:val="left"/>
      <w:pPr>
        <w:ind w:left="2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D0E888">
      <w:start w:val="1"/>
      <w:numFmt w:val="bullet"/>
      <w:lvlText w:val="•"/>
      <w:lvlJc w:val="left"/>
      <w:pPr>
        <w:ind w:left="3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C8FA8E">
      <w:start w:val="1"/>
      <w:numFmt w:val="bullet"/>
      <w:lvlText w:val="o"/>
      <w:lvlJc w:val="left"/>
      <w:pPr>
        <w:ind w:left="4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648E404">
      <w:start w:val="1"/>
      <w:numFmt w:val="bullet"/>
      <w:lvlText w:val="▪"/>
      <w:lvlJc w:val="left"/>
      <w:pPr>
        <w:ind w:left="4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90A702">
      <w:start w:val="1"/>
      <w:numFmt w:val="bullet"/>
      <w:lvlText w:val="•"/>
      <w:lvlJc w:val="left"/>
      <w:pPr>
        <w:ind w:left="5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505A54">
      <w:start w:val="1"/>
      <w:numFmt w:val="bullet"/>
      <w:lvlText w:val="o"/>
      <w:lvlJc w:val="left"/>
      <w:pPr>
        <w:ind w:left="6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62C84A">
      <w:start w:val="1"/>
      <w:numFmt w:val="bullet"/>
      <w:lvlText w:val="▪"/>
      <w:lvlJc w:val="left"/>
      <w:pPr>
        <w:ind w:left="7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8D7"/>
    <w:rsid w:val="000948D7"/>
    <w:rsid w:val="001A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BB16E9-E9E0-4839-8C77-A3BFAAD05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8D7"/>
    <w:pPr>
      <w:spacing w:after="5" w:line="367" w:lineRule="auto"/>
      <w:ind w:left="3440" w:right="3255" w:hanging="10"/>
      <w:jc w:val="both"/>
    </w:pPr>
    <w:rPr>
      <w:rFonts w:ascii="Times New Roman" w:eastAsia="Times New Roman" w:hAnsi="Times New Roman" w:cs="Times New Roman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0948D7"/>
    <w:pPr>
      <w:spacing w:after="0" w:line="240" w:lineRule="auto"/>
    </w:pPr>
    <w:rPr>
      <w:rFonts w:asciiTheme="minorHAnsi" w:eastAsiaTheme="minorEastAsia" w:hAnsiTheme="minorHAnsi"/>
      <w:sz w:val="22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Leite da Silva</dc:creator>
  <cp:keywords/>
  <dc:description/>
  <cp:lastModifiedBy>Tatiana Leite da Silva</cp:lastModifiedBy>
  <cp:revision>1</cp:revision>
  <dcterms:created xsi:type="dcterms:W3CDTF">2017-09-21T12:13:00Z</dcterms:created>
  <dcterms:modified xsi:type="dcterms:W3CDTF">2017-09-21T12:14:00Z</dcterms:modified>
</cp:coreProperties>
</file>